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2021 - Recyclage foncier – 2</w:t>
      </w:r>
      <w:r>
        <w:rPr>
          <w:vertAlign w:val="superscript"/>
        </w:rPr>
        <w:t>nde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2021 – Volet  Recyclage foncier</w:t>
      </w:r>
      <w:r>
        <w:rPr>
          <w:color w:val="00000A"/>
        </w:rPr>
        <w:t> </w:t>
      </w:r>
      <w:r>
        <w:rPr/>
        <w:t>– 2</w:t>
      </w:r>
      <w:r>
        <w:rPr>
          <w:vertAlign w:val="superscript"/>
        </w:rPr>
        <w:t>nde</w:t>
      </w:r>
      <w:r>
        <w:rPr/>
        <w:t xml:space="preserve"> édition</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t xml:space="preserve">A respecter les critères de compatibilité de l’aide demandée pour mon projet </w:t>
      </w:r>
      <w:bookmarkStart w:id="0" w:name="_GoBack"/>
      <w:bookmarkEnd w:id="0"/>
      <w:r>
        <w:rPr/>
        <w:t>avec le régime des aides d’Etat. Des éléments d’analyse complémentaires pourront être demandés si nécessaire par le service instructeur.</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2</Pages>
  <Words>368</Words>
  <Characters>1973</Characters>
  <CharactersWithSpaces>2302</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2021-07-13T07:36:20Z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